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25187F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25187F" w:rsidRDefault="006441CF" w:rsidP="00B90485">
      <w:pPr>
        <w:rPr>
          <w:rFonts w:ascii="Sylfaen" w:hAnsi="Sylfaen"/>
          <w:lang w:val="ka-GE"/>
        </w:rPr>
      </w:pPr>
      <w:r w:rsidRPr="006441CF">
        <w:rPr>
          <w:rFonts w:ascii="Sylfaen" w:hAnsi="Sylfaen"/>
          <w:lang w:val="ka-GE"/>
        </w:rPr>
        <w:t>ელზა ჯგერენაია, შრომისა და დასაქმების პოლიტიკის დეპარტამენტის უფროსი, ტელ: 2 51 00 11 (1502)</w:t>
      </w:r>
      <w:r w:rsidR="0025187F">
        <w:rPr>
          <w:rFonts w:ascii="Sylfaen" w:hAnsi="Sylfaen"/>
          <w:lang w:val="ka-GE"/>
        </w:rPr>
        <w:t>;</w:t>
      </w:r>
    </w:p>
    <w:p w:rsidR="006441CF" w:rsidRDefault="0025187F" w:rsidP="0025187F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 საქართველოს შრომის, ჯანმრთელობისა და სოციალური დაცვის სამინისტროს იურიდიული დეპარტამენტის უფროსი, ტელ: 2 51 00 31 (0602)</w:t>
      </w:r>
      <w:r w:rsidR="006441CF" w:rsidRPr="006441CF">
        <w:rPr>
          <w:rFonts w:ascii="Sylfaen" w:hAnsi="Sylfaen"/>
          <w:lang w:val="ka-GE"/>
        </w:rPr>
        <w:t xml:space="preserve"> </w:t>
      </w:r>
    </w:p>
    <w:p w:rsidR="00B90485" w:rsidRDefault="00B90485" w:rsidP="00706FFA">
      <w:pPr>
        <w:jc w:val="both"/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 </w:t>
      </w:r>
      <w:r w:rsidR="00706FFA" w:rsidRPr="00706FFA">
        <w:rPr>
          <w:rFonts w:ascii="Sylfaen" w:hAnsi="Sylfaen"/>
          <w:lang w:val="ka-GE"/>
        </w:rPr>
        <w:t>1991 წლის 14 ოქტომბრის საბჭოს 91/533/EEC დირექტივა შრომითი ხელშეკრულებით გათვალისწინებული პირობების ან დასაქმებასთან დაკავშირებული ურთიერთობების შესახებ დამსაქმებლის მიერ დასაქმებულთა ინფორმირების ვალდებულების შესახებ</w:t>
      </w:r>
    </w:p>
    <w:p w:rsidR="00052DB4" w:rsidRPr="00052DB4" w:rsidRDefault="00052DB4" w:rsidP="00052DB4">
      <w:pPr>
        <w:contextualSpacing/>
        <w:rPr>
          <w:rFonts w:ascii="Sylfaen" w:hAnsi="Sylfaen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BB4501" w:rsidRDefault="00BB4501" w:rsidP="00BB4501">
            <w:pPr>
              <w:spacing w:line="240" w:lineRule="auto"/>
              <w:jc w:val="both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BB450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დირექტივა 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ვრცელდება</w:t>
            </w:r>
            <w:r w:rsidRPr="00BB4501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ყველა დასაქმებულის მიმართ, რომლებსაც  სახელმწიფოში მოქმედი სამართლის შესაბამისად  აქვთ შრომითი ხელშეკრულება ან იმყოფებიან შრომით ურთიერთობაში.</w:t>
            </w:r>
          </w:p>
          <w:p w:rsidR="00BB4501" w:rsidRDefault="00BB4501" w:rsidP="00BB4501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დირექტივა განსაზღვრავს დამსაქმებლის ვალდებულებას, უზ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რუნველყოს დასაქმებულების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, მათ შორის, საზღვარგარეთ დასაქმებული პირების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 xml:space="preserve"> ინფორმირება შრომითი ხელშე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კ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რულების ან შრომითი ურთიერთობების არსებითი პირობების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ან/და მათი ცვლილებების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 xml:space="preserve"> შესახებ.</w:t>
            </w:r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დირექტივა ადგენს არსებითი პირობების ჩამონათვალის მინიმუმს (მაგ. მხარეთა რეკვიზიტები, სამუშაო ადგილი, სამუშაოს აღწერილობა, ანაზღაურება, ანაზღაურებადი შვებულების ხანგრძლივობა, ხელშეკრულების შეწყვეტის წესი და სხვ.) და ინფორმირების ვადებს, ასევე ინფორმირების საშუალებებს, როგორიცაა 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წერილობითი შრომითი ხელშეკრულება და/ან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3F552D">
              <w:rPr>
                <w:rFonts w:ascii="Sylfaen" w:hAnsi="Sylfaen"/>
                <w:sz w:val="18"/>
                <w:szCs w:val="18"/>
                <w:lang w:val="ka-GE"/>
              </w:rPr>
              <w:t>ბრძანება დანიშვნის შესახებ</w:t>
            </w:r>
            <w:r>
              <w:rPr>
                <w:rFonts w:ascii="Sylfaen" w:hAnsi="Sylfaen"/>
                <w:sz w:val="18"/>
                <w:szCs w:val="18"/>
                <w:lang w:val="ka-GE"/>
              </w:rPr>
              <w:t>.</w:t>
            </w:r>
          </w:p>
          <w:p w:rsidR="00052DB4" w:rsidRPr="00BB4501" w:rsidRDefault="00BB4501" w:rsidP="00BB4501">
            <w:pPr>
              <w:spacing w:line="240" w:lineRule="auto"/>
              <w:jc w:val="both"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დირექტივა ასევე განსაზღვრავს სახელმწიფოს ვალდებულებას, უზრუნველყოს  შიდასახელმწიფოებრივი ნორმებით დასაქმებულთა უფლებების დაცვა დირექტივის დებულებებიდან გამომდინარე უფლებების დარღვევის შემთხვევაში.</w:t>
            </w:r>
          </w:p>
        </w:tc>
        <w:tc>
          <w:tcPr>
            <w:tcW w:w="2880" w:type="dxa"/>
          </w:tcPr>
          <w:p w:rsidR="00052DB4" w:rsidRPr="00B90485" w:rsidRDefault="00B90485" w:rsidP="00706FFA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06FFA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Pr="00B90485">
              <w:rPr>
                <w:rFonts w:ascii="Sylfaen" w:hAnsi="Sylfaen"/>
                <w:sz w:val="20"/>
                <w:szCs w:val="20"/>
                <w:lang w:val="ka-GE"/>
              </w:rPr>
              <w:t xml:space="preserve"> წლის 1 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lastRenderedPageBreak/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F2078F" w:rsidRDefault="00BB4501" w:rsidP="00F2078F">
            <w:pPr>
              <w:tabs>
                <w:tab w:val="left" w:pos="392"/>
              </w:tabs>
              <w:spacing w:line="240" w:lineRule="auto"/>
              <w:contextualSpacing/>
              <w:rPr>
                <w:rFonts w:ascii="Sylfaen" w:hAnsi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მიმდინარეობს მუშაობა საკანონმდებლო ცვლილებათა პაკეტის საბოლოო სახით ჩამოყალიბებაზე</w:t>
            </w:r>
            <w:r w:rsidR="004B38D5">
              <w:rPr>
                <w:rFonts w:ascii="Sylfaen" w:hAnsi="Sylfaen" w:cs="Sylfaen"/>
                <w:sz w:val="18"/>
                <w:szCs w:val="18"/>
                <w:lang w:val="ka-GE"/>
              </w:rPr>
              <w:t>.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9639" w:type="dxa"/>
            <w:gridSpan w:val="2"/>
          </w:tcPr>
          <w:p w:rsidR="00B90485" w:rsidRPr="00F2078F" w:rsidRDefault="00B90485" w:rsidP="00B90485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bookmarkStart w:id="0" w:name="_GoBack"/>
            <w:bookmarkEnd w:id="0"/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>, შრომისა და დასაქმების პოლიტიკის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25187F">
        <w:rPr>
          <w:rFonts w:ascii="Sylfaen" w:hAnsi="Sylfaen"/>
          <w:lang w:val="ka-GE"/>
        </w:rPr>
        <w:t>, იურიდიული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0932E0"/>
    <w:rsid w:val="00122443"/>
    <w:rsid w:val="001526B5"/>
    <w:rsid w:val="00180F13"/>
    <w:rsid w:val="001C23B1"/>
    <w:rsid w:val="001C4EC5"/>
    <w:rsid w:val="002002EE"/>
    <w:rsid w:val="00204958"/>
    <w:rsid w:val="00250885"/>
    <w:rsid w:val="0025187F"/>
    <w:rsid w:val="002D2EBE"/>
    <w:rsid w:val="004B17FE"/>
    <w:rsid w:val="004B38D5"/>
    <w:rsid w:val="005532A9"/>
    <w:rsid w:val="005753D9"/>
    <w:rsid w:val="005A4464"/>
    <w:rsid w:val="00610E6D"/>
    <w:rsid w:val="006441CF"/>
    <w:rsid w:val="006A7776"/>
    <w:rsid w:val="00706FFA"/>
    <w:rsid w:val="007F3314"/>
    <w:rsid w:val="008313E7"/>
    <w:rsid w:val="00856068"/>
    <w:rsid w:val="008A6D88"/>
    <w:rsid w:val="008F6317"/>
    <w:rsid w:val="00963175"/>
    <w:rsid w:val="009F3C66"/>
    <w:rsid w:val="00AD4DE0"/>
    <w:rsid w:val="00B90485"/>
    <w:rsid w:val="00BB4501"/>
    <w:rsid w:val="00BB5DD8"/>
    <w:rsid w:val="00BE380E"/>
    <w:rsid w:val="00C66426"/>
    <w:rsid w:val="00F2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Irma Gelashvili</cp:lastModifiedBy>
  <cp:revision>5</cp:revision>
  <cp:lastPrinted>2017-06-27T11:19:00Z</cp:lastPrinted>
  <dcterms:created xsi:type="dcterms:W3CDTF">2017-10-13T09:59:00Z</dcterms:created>
  <dcterms:modified xsi:type="dcterms:W3CDTF">2018-04-24T08:40:00Z</dcterms:modified>
</cp:coreProperties>
</file>